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751"/>
        <w:tblW w:w="10751" w:type="dxa"/>
        <w:tblLayout w:type="fixed"/>
        <w:tblLook w:val="01E0" w:firstRow="1" w:lastRow="1" w:firstColumn="1" w:lastColumn="1" w:noHBand="0" w:noVBand="0"/>
      </w:tblPr>
      <w:tblGrid>
        <w:gridCol w:w="426"/>
        <w:gridCol w:w="3936"/>
        <w:gridCol w:w="2126"/>
        <w:gridCol w:w="4263"/>
      </w:tblGrid>
      <w:tr w:rsidR="00621691" w:rsidRPr="00621691" w14:paraId="4CE51E29" w14:textId="77777777" w:rsidTr="00621691">
        <w:trPr>
          <w:trHeight w:val="1348"/>
        </w:trPr>
        <w:tc>
          <w:tcPr>
            <w:tcW w:w="4362" w:type="dxa"/>
            <w:gridSpan w:val="2"/>
            <w:shd w:val="clear" w:color="auto" w:fill="auto"/>
          </w:tcPr>
          <w:p w14:paraId="536D6282" w14:textId="77777777" w:rsidR="00621691" w:rsidRPr="00621691" w:rsidRDefault="00621691" w:rsidP="00621691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en-US"/>
              </w:rPr>
              <w:t>ҚАЗАҚСТАН</w:t>
            </w: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 xml:space="preserve"> </w:t>
            </w:r>
          </w:p>
          <w:p w14:paraId="26690505" w14:textId="77777777" w:rsidR="00621691" w:rsidRPr="00621691" w:rsidRDefault="00621691" w:rsidP="00621691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>РЕСПУБЛИКАСЫНЫҢ</w:t>
            </w:r>
          </w:p>
          <w:p w14:paraId="25F26AF5" w14:textId="77777777" w:rsidR="00621691" w:rsidRPr="00621691" w:rsidRDefault="00621691" w:rsidP="00621691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32"/>
                <w:szCs w:val="32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>ӨНЕРКӘСІП ЖӘНЕ ҚҰРЫЛЫС МИНИСТРЛІГІ</w:t>
            </w:r>
          </w:p>
        </w:tc>
        <w:tc>
          <w:tcPr>
            <w:tcW w:w="2126" w:type="dxa"/>
            <w:shd w:val="clear" w:color="auto" w:fill="auto"/>
          </w:tcPr>
          <w:p w14:paraId="5FFE002F" w14:textId="77777777" w:rsidR="00621691" w:rsidRPr="00621691" w:rsidRDefault="00621691" w:rsidP="0062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noProof/>
                <w:lang w:val="en-US"/>
              </w:rPr>
              <w:drawing>
                <wp:inline distT="0" distB="0" distL="0" distR="0" wp14:anchorId="3019BC92" wp14:editId="6663FFE8">
                  <wp:extent cx="972820" cy="97282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2E59FA58" w14:textId="77777777" w:rsidR="00621691" w:rsidRPr="00621691" w:rsidRDefault="00621691" w:rsidP="0062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 xml:space="preserve">МИНИСТЕРСТВО </w:t>
            </w:r>
          </w:p>
          <w:p w14:paraId="4CE5D1B1" w14:textId="77777777" w:rsidR="00621691" w:rsidRPr="00621691" w:rsidRDefault="00621691" w:rsidP="0062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>ПРОМЫШЛЕННОСТИ И СТРОИТЕЛЬСТВА</w:t>
            </w:r>
          </w:p>
          <w:p w14:paraId="27AA5755" w14:textId="77777777" w:rsidR="00621691" w:rsidRPr="00621691" w:rsidRDefault="00621691" w:rsidP="0062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29"/>
                <w:szCs w:val="29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  <w:t xml:space="preserve"> РЕСПУБЛИКИ КАЗАХСТАН</w:t>
            </w:r>
          </w:p>
        </w:tc>
      </w:tr>
      <w:tr w:rsidR="00621691" w:rsidRPr="00621691" w14:paraId="5F0A7AE6" w14:textId="77777777" w:rsidTr="00621691">
        <w:trPr>
          <w:gridBefore w:val="1"/>
          <w:wBefore w:w="426" w:type="dxa"/>
          <w:trHeight w:val="591"/>
        </w:trPr>
        <w:tc>
          <w:tcPr>
            <w:tcW w:w="3936" w:type="dxa"/>
            <w:shd w:val="clear" w:color="auto" w:fill="auto"/>
          </w:tcPr>
          <w:p w14:paraId="0CC2F346" w14:textId="77777777" w:rsidR="00621691" w:rsidRPr="00621691" w:rsidRDefault="00621691" w:rsidP="00621691">
            <w:pPr>
              <w:widowControl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</w:rPr>
            </w:pPr>
          </w:p>
          <w:p w14:paraId="2DFB78E2" w14:textId="77777777" w:rsidR="00621691" w:rsidRPr="00621691" w:rsidRDefault="00621691" w:rsidP="00621691">
            <w:pPr>
              <w:widowControl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en-US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en-US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23592F46" w14:textId="77777777" w:rsidR="00621691" w:rsidRPr="00621691" w:rsidRDefault="00621691" w:rsidP="006216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2F775A9C" w14:textId="77777777" w:rsidR="00621691" w:rsidRPr="00621691" w:rsidRDefault="00621691" w:rsidP="0062169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en-US"/>
              </w:rPr>
            </w:pPr>
            <w:r w:rsidRPr="00621691">
              <w:rPr>
                <w:rFonts w:ascii="Times New Roman" w:eastAsia="Times New Roman" w:hAnsi="Times New Roman" w:cs="Times New Roman"/>
                <w:noProof/>
                <w:color w:val="3399FF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55D6370" wp14:editId="0ABC98B5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6" name="Lin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D6EAD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" strokecolor="#39f" strokeweight="1.25pt">
                      <o:lock v:ext="edit" aspectratio="t" shapetype="f"/>
                      <w10:wrap anchory="page"/>
                    </v:line>
                  </w:pict>
                </mc:Fallback>
              </mc:AlternateContent>
            </w:r>
          </w:p>
          <w:p w14:paraId="10DBE5C5" w14:textId="77777777" w:rsidR="00621691" w:rsidRPr="00621691" w:rsidRDefault="00621691" w:rsidP="0062169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kk-KZ"/>
              </w:rPr>
            </w:pPr>
            <w:r w:rsidRPr="00621691">
              <w:rPr>
                <w:rFonts w:ascii="Times New Roman" w:eastAsia="Times New Roman" w:hAnsi="Times New Roman" w:cs="Times New Roman"/>
                <w:b/>
                <w:bCs/>
                <w:color w:val="3399FF"/>
                <w:lang w:val="en-US"/>
              </w:rPr>
              <w:t>ПРИКАЗ</w:t>
            </w:r>
          </w:p>
        </w:tc>
      </w:tr>
    </w:tbl>
    <w:p w14:paraId="681CCF95" w14:textId="003B0324" w:rsidR="00621691" w:rsidRPr="00621691" w:rsidRDefault="00621691" w:rsidP="00621691">
      <w:pPr>
        <w:tabs>
          <w:tab w:val="center" w:pos="4680"/>
          <w:tab w:val="right" w:pos="9360"/>
        </w:tabs>
        <w:spacing w:after="200" w:line="276" w:lineRule="auto"/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</w:pPr>
      <w:proofErr w:type="gramStart"/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>№  _</w:t>
      </w:r>
      <w:proofErr w:type="gramEnd"/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 xml:space="preserve">___________________                                                             </w:t>
      </w:r>
      <w:proofErr w:type="spellStart"/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>от</w:t>
      </w:r>
      <w:proofErr w:type="spellEnd"/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 xml:space="preserve"> «___»    ___________  20</w:t>
      </w:r>
      <w:r w:rsidRPr="00621691">
        <w:rPr>
          <w:rFonts w:ascii="Times New Roman" w:eastAsia="Times New Roman" w:hAnsi="Times New Roman" w:cs="Times New Roman"/>
          <w:color w:val="3A7298"/>
          <w:lang w:val="kk-KZ"/>
        </w:rPr>
        <w:t>___</w:t>
      </w:r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 xml:space="preserve">  </w:t>
      </w:r>
      <w:proofErr w:type="spellStart"/>
      <w:r w:rsidRPr="00621691">
        <w:rPr>
          <w:rFonts w:ascii="Times New Roman" w:eastAsia="Times New Roman" w:hAnsi="Times New Roman" w:cs="Times New Roman"/>
          <w:b/>
          <w:bCs/>
          <w:color w:val="3399FF"/>
          <w:lang w:val="en-US" w:eastAsia="ru-RU"/>
        </w:rPr>
        <w:t>года</w:t>
      </w:r>
      <w:proofErr w:type="spellEnd"/>
    </w:p>
    <w:p w14:paraId="345472F4" w14:textId="77777777" w:rsidR="00621691" w:rsidRPr="00621691" w:rsidRDefault="00621691" w:rsidP="00621691">
      <w:pPr>
        <w:tabs>
          <w:tab w:val="center" w:pos="4680"/>
          <w:tab w:val="right" w:pos="9360"/>
        </w:tabs>
        <w:spacing w:after="200" w:line="276" w:lineRule="auto"/>
        <w:rPr>
          <w:rFonts w:ascii="Times New Roman" w:eastAsia="Times New Roman" w:hAnsi="Times New Roman" w:cs="Times New Roman"/>
          <w:color w:val="3A7298"/>
          <w:lang w:val="en-US"/>
        </w:rPr>
      </w:pPr>
      <w:r w:rsidRPr="00621691">
        <w:rPr>
          <w:rFonts w:ascii="Times New Roman" w:eastAsia="Times New Roman" w:hAnsi="Times New Roman" w:cs="Times New Roman"/>
          <w:color w:val="3399FF"/>
          <w:lang w:val="kk-KZ"/>
        </w:rPr>
        <w:t xml:space="preserve">                  Астана қ</w:t>
      </w:r>
      <w:proofErr w:type="spellStart"/>
      <w:r w:rsidRPr="00621691">
        <w:rPr>
          <w:rFonts w:ascii="Times New Roman" w:eastAsia="Times New Roman" w:hAnsi="Times New Roman" w:cs="Times New Roman"/>
          <w:color w:val="3399FF"/>
          <w:lang w:val="en-US"/>
        </w:rPr>
        <w:t>аласы</w:t>
      </w:r>
      <w:proofErr w:type="spellEnd"/>
      <w:r w:rsidRPr="00621691">
        <w:rPr>
          <w:rFonts w:ascii="Times New Roman" w:eastAsia="Times New Roman" w:hAnsi="Times New Roman" w:cs="Times New Roman"/>
          <w:color w:val="3399FF"/>
          <w:lang w:val="kk-KZ"/>
        </w:rPr>
        <w:t xml:space="preserve">                                                                                                          </w:t>
      </w:r>
      <w:proofErr w:type="spellStart"/>
      <w:r w:rsidRPr="00621691">
        <w:rPr>
          <w:rFonts w:ascii="Times New Roman" w:eastAsia="Times New Roman" w:hAnsi="Times New Roman" w:cs="Times New Roman"/>
          <w:color w:val="3399FF"/>
          <w:lang w:val="kk-KZ"/>
        </w:rPr>
        <w:t>город</w:t>
      </w:r>
      <w:proofErr w:type="spellEnd"/>
    </w:p>
    <w:p w14:paraId="19325882" w14:textId="77777777" w:rsidR="00621691" w:rsidRDefault="00621691" w:rsidP="002607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</w:pPr>
    </w:p>
    <w:p w14:paraId="41A23BE0" w14:textId="3A7442C5" w:rsidR="002607BD" w:rsidRDefault="002607BD" w:rsidP="002607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Көлік құралдарының паспорттарын (көлік құралдары </w:t>
      </w:r>
      <w:proofErr w:type="spellStart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>шассилерінің</w:t>
      </w:r>
      <w:proofErr w:type="spellEnd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паспорттарын ресімдеу, оның ішінде көлік құралдарының электрондық паспорттарын (көлік құралдары </w:t>
      </w:r>
      <w:proofErr w:type="spellStart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>шассилерінің</w:t>
      </w:r>
      <w:proofErr w:type="spellEnd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және К</w:t>
      </w:r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өлік құралдарының электрондық паспорттарын (көлік құралдары </w:t>
      </w:r>
      <w:proofErr w:type="spellStart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>шассилерінің</w:t>
      </w:r>
      <w:proofErr w:type="spellEnd"/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электрондық паспорттарын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жүргізу қағидаларын </w:t>
      </w:r>
      <w:r w:rsidRPr="002607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>бекіту туралы</w:t>
      </w:r>
    </w:p>
    <w:p w14:paraId="303310B5" w14:textId="3214AA20" w:rsidR="002607BD" w:rsidRDefault="002607BD" w:rsidP="002607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</w:pPr>
    </w:p>
    <w:p w14:paraId="5DCF5435" w14:textId="77777777" w:rsidR="002607BD" w:rsidRPr="002607BD" w:rsidRDefault="002607BD" w:rsidP="002607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</w:pPr>
    </w:p>
    <w:p w14:paraId="2C888665" w14:textId="12D4A80F" w:rsidR="008374EC" w:rsidRPr="008374EC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Жол жүрісі туралы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»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2014 жылғы 17 сәуірдегі Қазақстан Республикасы Заңының </w:t>
      </w:r>
      <w:hyperlink r:id="rId5" w:anchor="z484" w:history="1">
        <w:r w:rsidRPr="002607BD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15-1-бабының</w:t>
        </w:r>
      </w:hyperlink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4) тармақшасына сәйкес БҰЙЫРАМЫН:</w:t>
      </w:r>
    </w:p>
    <w:p w14:paraId="1AA68DA5" w14:textId="220036F3" w:rsidR="008374EC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1. 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Мыналар:</w:t>
      </w:r>
    </w:p>
    <w:p w14:paraId="23AC6B4A" w14:textId="43A0EFA6" w:rsidR="008374EC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1) 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Көлік құралдарының паспорттарын (көлік құралдары </w:t>
      </w:r>
      <w:proofErr w:type="spellStart"/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шассилерінің</w:t>
      </w:r>
      <w:proofErr w:type="spellEnd"/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паспорттарын ресімдеу, оның ішінде көлік құралдарының электрондық паспорттарын (көлік құралдары </w:t>
      </w:r>
      <w:proofErr w:type="spellStart"/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шассилерінің</w:t>
      </w:r>
      <w:proofErr w:type="spellEnd"/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</w:t>
      </w:r>
      <w:hyperlink r:id="rId6" w:anchor="z10" w:history="1">
        <w:r w:rsidR="002607BD" w:rsidRPr="002607BD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қағидалары мен шарттары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осы бұйрыққа 1-қосымшаға сәйкес;</w:t>
      </w:r>
    </w:p>
    <w:p w14:paraId="33016054" w14:textId="483A1DB1" w:rsidR="008374EC" w:rsidRPr="008374EC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2)</w:t>
      </w:r>
      <w:r w:rsidRPr="008374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KZ"/>
        </w:rPr>
        <w:t xml:space="preserve"> </w:t>
      </w:r>
      <w:r w:rsidRPr="008374EC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>К</w:t>
      </w:r>
      <w:r w:rsidRPr="002607BD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 xml:space="preserve">өлік құралдарының электрондық паспорттарын (көлік құралдары </w:t>
      </w:r>
      <w:proofErr w:type="spellStart"/>
      <w:r w:rsidRPr="002607BD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>шассилерінің</w:t>
      </w:r>
      <w:proofErr w:type="spellEnd"/>
      <w:r w:rsidRPr="002607BD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электрондық паспорттарын</w:t>
      </w:r>
      <w:r w:rsidRPr="008374EC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 xml:space="preserve"> жүргізу қағидалары</w:t>
      </w:r>
      <w:r w:rsidRP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осы бұйрыққа 2-қосымшаға сәйкес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KZ"/>
        </w:rPr>
        <w:t xml:space="preserve">  бекітілсін.</w:t>
      </w:r>
    </w:p>
    <w:p w14:paraId="214CD35A" w14:textId="6D43DAE1" w:rsidR="008374EC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2. 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Мыналардың:</w:t>
      </w:r>
    </w:p>
    <w:p w14:paraId="288AC20A" w14:textId="09C8CEDF" w:rsidR="008374EC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1)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Қазақстан Республикасы Индустрия және инфрақұрылымдық даму министрінің 2019 жылғы 11 сәуірдегі № 211 </w:t>
      </w:r>
      <w:r w:rsid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Көлік құралдарының паспорттарын (көлік құралдары </w:t>
      </w:r>
      <w:proofErr w:type="spellStart"/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шассилерінің</w:t>
      </w:r>
      <w:proofErr w:type="spellEnd"/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паспорттарын ресімдеу, оның ішінде көлік құралдарының электрондық паспорттарын (көлік </w:t>
      </w:r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 xml:space="preserve">құралдары </w:t>
      </w:r>
      <w:proofErr w:type="spellStart"/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шассилерінің</w:t>
      </w:r>
      <w:proofErr w:type="spellEnd"/>
      <w:r w:rsidR="00FF3BE3"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паспорттарын)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 бекіту туралы</w:t>
      </w:r>
      <w:r w:rsid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»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бұйрығы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ның (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Қазақстан Республикасының Әділет министрлігінде 2019 жылғы 16 сәуірде № 18532 болып тіркел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ген);</w:t>
      </w:r>
    </w:p>
    <w:p w14:paraId="333985CB" w14:textId="148CB83A" w:rsidR="00FF3BE3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2) 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Өнеркәсіп және құрылыс министрінің 2024 жылғы 23 сәуірдегі № 149 </w:t>
      </w:r>
      <w:r w:rsidR="00FF3BE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FF3BE3"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Көлік құралдарының электрондық паспорттарын (көлік құралдары </w:t>
      </w:r>
      <w:proofErr w:type="spellStart"/>
      <w:r w:rsidR="00FF3BE3" w:rsidRPr="00FF3BE3">
        <w:rPr>
          <w:rFonts w:ascii="Times New Roman" w:hAnsi="Times New Roman" w:cs="Times New Roman"/>
          <w:sz w:val="28"/>
          <w:szCs w:val="28"/>
          <w:lang w:val="kk-KZ"/>
        </w:rPr>
        <w:t>шассилерінің</w:t>
      </w:r>
      <w:proofErr w:type="spellEnd"/>
      <w:r w:rsidR="00FF3BE3"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паспорттарын) және өздігінен жүретін машиналар мен басқа да техника түрлерінің электрондық паспорттарын жүргізу қағидаларын бекіту туралы</w:t>
      </w:r>
      <w:r w:rsidR="00FF3BE3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>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Әділет министрлігінде 2024 жылғы 25 сәуірде № 34302 болып тіркел</w:t>
      </w:r>
      <w:r>
        <w:rPr>
          <w:rFonts w:ascii="Times New Roman" w:hAnsi="Times New Roman" w:cs="Times New Roman"/>
          <w:sz w:val="28"/>
          <w:szCs w:val="28"/>
          <w:lang w:val="kk-KZ"/>
        </w:rPr>
        <w:t>ген)</w:t>
      </w:r>
      <w:r w:rsidR="00FF3BE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59840C9" w14:textId="0A5D4C69" w:rsidR="00FF3BE3" w:rsidRDefault="00FF3BE3" w:rsidP="00FF3B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Қазақстан Республикасы Индустрия және инфрақұрылымдық даму министрінің </w:t>
      </w:r>
      <w:r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2022 жылғы 21 желтоқсандағы № 729</w:t>
      </w:r>
      <w:r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Көлік құралдарының паспорттарын (көлік құралдары </w:t>
      </w:r>
      <w:proofErr w:type="spellStart"/>
      <w:r w:rsidRPr="00FF3BE3">
        <w:rPr>
          <w:rFonts w:ascii="Times New Roman" w:hAnsi="Times New Roman" w:cs="Times New Roman"/>
          <w:sz w:val="28"/>
          <w:szCs w:val="28"/>
          <w:lang w:val="kk-KZ"/>
        </w:rPr>
        <w:t>шассилерінің</w:t>
      </w:r>
      <w:proofErr w:type="spellEnd"/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паспорттарын) және өздігінен жүретін машиналар мен басқа да техника түрлерінің паспорттарын ресімдеу, оның ішінде көлік құралдарының электрондық паспорттарын (көлік құралдары </w:t>
      </w:r>
      <w:proofErr w:type="spellStart"/>
      <w:r w:rsidRPr="00FF3BE3">
        <w:rPr>
          <w:rFonts w:ascii="Times New Roman" w:hAnsi="Times New Roman" w:cs="Times New Roman"/>
          <w:sz w:val="28"/>
          <w:szCs w:val="28"/>
          <w:lang w:val="kk-KZ"/>
        </w:rPr>
        <w:t>шассилерінің</w:t>
      </w:r>
      <w:proofErr w:type="spellEnd"/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паспорттарын)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 бекіту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Индустрия және инфрақұрылымдық даму министрінің 2019 жылғы 11 сәуірдегі № 211 бұйрығына өзгеріс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бұйрығы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ның (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Қазақстан Республикасының Әділет министрлігінде </w:t>
      </w:r>
      <w:r w:rsidRPr="00FF3BE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2022 жылғы 26 желтоқсанда № 31275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болып тіркел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ген);</w:t>
      </w:r>
    </w:p>
    <w:p w14:paraId="45F39CC1" w14:textId="4924D9E5" w:rsidR="008374EC" w:rsidRPr="002607BD" w:rsidRDefault="00FF3BE3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Өнеркәсіп және құрылыс министрінің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2024 жылғы 27 желтоқсандағы № 444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Көлік құралдарының электрондық паспорттарын (көлік құралдары </w:t>
      </w:r>
      <w:proofErr w:type="spellStart"/>
      <w:r w:rsidRPr="00FF3BE3">
        <w:rPr>
          <w:rFonts w:ascii="Times New Roman" w:hAnsi="Times New Roman" w:cs="Times New Roman"/>
          <w:sz w:val="28"/>
          <w:szCs w:val="28"/>
          <w:lang w:val="kk-KZ"/>
        </w:rPr>
        <w:t>шассилерінің</w:t>
      </w:r>
      <w:proofErr w:type="spellEnd"/>
      <w:r w:rsidRPr="00FF3BE3">
        <w:rPr>
          <w:rFonts w:ascii="Times New Roman" w:hAnsi="Times New Roman" w:cs="Times New Roman"/>
          <w:sz w:val="28"/>
          <w:szCs w:val="28"/>
          <w:lang w:val="kk-KZ"/>
        </w:rPr>
        <w:t xml:space="preserve"> паспорттарын) және өздігінен жүретін машиналар мен басқа да техника түрлерінің электрондық паспорттарын жүргізу қағидаларын бекіту туралы" Қазақстан Республикасы Өнеркәсіп және құрылыс министрінің 2024 жылғы 23 сәуірдегі № 149 бұйрығына өзгеріс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 (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Әділет министрлігінде </w:t>
      </w:r>
      <w:r w:rsidRPr="00FF3BE3">
        <w:rPr>
          <w:rFonts w:ascii="Times New Roman" w:hAnsi="Times New Roman" w:cs="Times New Roman"/>
          <w:sz w:val="28"/>
          <w:szCs w:val="28"/>
          <w:lang w:val="kk-KZ"/>
        </w:rPr>
        <w:t>2024 жылғы 27 желтоқсанда № 35550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 болып тіркел</w:t>
      </w:r>
      <w:r>
        <w:rPr>
          <w:rFonts w:ascii="Times New Roman" w:hAnsi="Times New Roman" w:cs="Times New Roman"/>
          <w:sz w:val="28"/>
          <w:szCs w:val="28"/>
          <w:lang w:val="kk-KZ"/>
        </w:rPr>
        <w:t>ген)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күші жойылды деп танылсын</w:t>
      </w:r>
      <w:r w:rsidR="008374EC" w:rsidRPr="008374E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D80D2E8" w14:textId="2661072E" w:rsidR="008374EC" w:rsidRPr="008374EC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Өнеркәсіп және құрылыс 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министрлігінің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Ө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неркәсіп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комитеті заңнамада белгіленген тәртіппен:</w:t>
      </w:r>
    </w:p>
    <w:p w14:paraId="66FC8A87" w14:textId="471F52A3" w:rsidR="008374EC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1) осы бұйрықты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ң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Қазақстан Республикасы Әділет министрлігінде мемлекеттік тірке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луін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;</w:t>
      </w:r>
    </w:p>
    <w:p w14:paraId="2E3F16E9" w14:textId="0AA2293A" w:rsidR="008374EC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2) осы бұйрық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тың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мемлекеттік тіркелген күнінен бастап күнтізбелік он күн ішінде қазақ және орыс тілдерінде Қазақстан Республикасы Нормативтік құқықтық актілерінің эталондық бақылау банкіне ресми жариялау және енгізу үшін 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Қазақстан Республикасының Заңнама және құқықтық ақпарат институты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»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шаруашылық жүргізу құқығындағы республикалық мемлекеттік кәсіпорнына жібер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ілуін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;</w:t>
      </w:r>
    </w:p>
    <w:p w14:paraId="26FF09B1" w14:textId="63499E66" w:rsidR="002607BD" w:rsidRDefault="002607BD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>3) осы бұйрықты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ң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Қазақстан Республикасы </w:t>
      </w:r>
      <w:r w:rsidR="008374EC"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Өнеркәсіп және құрылыс </w:t>
      </w:r>
      <w:r w:rsidR="008374EC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министрлігінің 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интернет-ресурсында орналастыр</w:t>
      </w:r>
      <w:r w:rsidR="008374E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ылуын</w:t>
      </w:r>
      <w:r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қамтамасыз етсін.</w:t>
      </w:r>
    </w:p>
    <w:p w14:paraId="2123A358" w14:textId="0C32F7E3" w:rsidR="002607BD" w:rsidRPr="002607BD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4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. Осы бұйрықтың орындалуын бақылау жетекшілік ететін Қазақстан Республикасының </w:t>
      </w:r>
      <w:r w:rsidRPr="008374EC">
        <w:rPr>
          <w:rFonts w:ascii="Times New Roman" w:hAnsi="Times New Roman" w:cs="Times New Roman"/>
          <w:sz w:val="28"/>
          <w:szCs w:val="28"/>
          <w:lang w:val="kk-KZ"/>
        </w:rPr>
        <w:t xml:space="preserve">Өнеркәсіп және құрылыс 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вице-министріне жүктелсін.</w:t>
      </w:r>
    </w:p>
    <w:p w14:paraId="6F3E2ADA" w14:textId="5511C862" w:rsidR="002607BD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5</w:t>
      </w:r>
      <w:r w:rsidR="002607BD" w:rsidRPr="002607B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. Осы бұйрық алғашқы ресми жарияланған күнінен кейін күнтізбелік он күн өткен соң қолданысқа енгізіледі.</w:t>
      </w:r>
    </w:p>
    <w:p w14:paraId="26412814" w14:textId="2CAB3DE4" w:rsidR="008D3FE0" w:rsidRDefault="008D3FE0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40721744" w14:textId="73F35175" w:rsidR="008D3FE0" w:rsidRDefault="008D3FE0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tbl>
      <w:tblPr>
        <w:tblStyle w:val="a6"/>
        <w:tblpPr w:leftFromText="180" w:rightFromText="180" w:vertAnchor="text" w:horzAnchor="margin" w:tblpXSpec="right" w:tblpY="7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2126"/>
        <w:gridCol w:w="3261"/>
      </w:tblGrid>
      <w:tr w:rsidR="00621691" w14:paraId="3EA73ECA" w14:textId="77777777" w:rsidTr="00FF3BE3">
        <w:trPr>
          <w:trHeight w:val="80"/>
        </w:trPr>
        <w:tc>
          <w:tcPr>
            <w:tcW w:w="3368" w:type="dxa"/>
            <w:hideMark/>
          </w:tcPr>
          <w:p w14:paraId="63D35B30" w14:textId="7F772B95" w:rsidR="00621691" w:rsidRPr="00621691" w:rsidRDefault="00621691" w:rsidP="001A1485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3E5E2F68" w14:textId="77777777" w:rsidR="00621691" w:rsidRDefault="00621691" w:rsidP="001A148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hideMark/>
          </w:tcPr>
          <w:p w14:paraId="3E4D82FF" w14:textId="3E428EEA" w:rsidR="00621691" w:rsidRPr="00FF3BE3" w:rsidRDefault="00FF3BE3" w:rsidP="001A1485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15F4A581" w14:textId="77777777" w:rsidR="008374EC" w:rsidRPr="002607BD" w:rsidRDefault="008374EC" w:rsidP="008374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6973B495" w14:textId="77777777" w:rsidR="00B365BA" w:rsidRPr="002607BD" w:rsidRDefault="007E6184" w:rsidP="002607BD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sectPr w:rsidR="00B365BA" w:rsidRPr="0026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7BD"/>
    <w:rsid w:val="002607BD"/>
    <w:rsid w:val="003E7824"/>
    <w:rsid w:val="0057176D"/>
    <w:rsid w:val="00621691"/>
    <w:rsid w:val="006E18FE"/>
    <w:rsid w:val="007E6184"/>
    <w:rsid w:val="008374EC"/>
    <w:rsid w:val="008D3FE0"/>
    <w:rsid w:val="00AC4C2F"/>
    <w:rsid w:val="00AE30C1"/>
    <w:rsid w:val="00B07F0E"/>
    <w:rsid w:val="00CC2144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BFBC3"/>
  <w15:chartTrackingRefBased/>
  <w15:docId w15:val="{12FBC342-AF48-498B-9E15-E265D8AA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0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7BD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paragraph" w:styleId="a3">
    <w:name w:val="Normal (Web)"/>
    <w:basedOn w:val="a"/>
    <w:uiPriority w:val="99"/>
    <w:semiHidden/>
    <w:unhideWhenUsed/>
    <w:rsid w:val="0026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4">
    <w:name w:val="Hyperlink"/>
    <w:basedOn w:val="a0"/>
    <w:uiPriority w:val="99"/>
    <w:semiHidden/>
    <w:unhideWhenUsed/>
    <w:rsid w:val="002607B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74EC"/>
    <w:pPr>
      <w:ind w:left="720"/>
      <w:contextualSpacing/>
    </w:pPr>
  </w:style>
  <w:style w:type="table" w:styleId="a6">
    <w:name w:val="Table Grid"/>
    <w:basedOn w:val="a1"/>
    <w:rsid w:val="00621691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900018532" TargetMode="External"/><Relationship Id="rId5" Type="http://schemas.openxmlformats.org/officeDocument/2006/relationships/hyperlink" Target="http://adilet.zan.kz/kaz/docs/Z140000019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Шахарбаева Набира Атамуратовна</dc:creator>
  <cp:keywords/>
  <dc:description/>
  <cp:lastModifiedBy>Гульжан Акимбек</cp:lastModifiedBy>
  <cp:revision>2</cp:revision>
  <dcterms:created xsi:type="dcterms:W3CDTF">2025-03-12T14:12:00Z</dcterms:created>
  <dcterms:modified xsi:type="dcterms:W3CDTF">2025-04-01T11:13:00Z</dcterms:modified>
</cp:coreProperties>
</file>